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A063D" w14:textId="181E4CD1" w:rsidR="00C221A7" w:rsidRDefault="00C221A7">
      <w:hyperlink r:id="rId4" w:history="1">
        <w:r>
          <w:rPr>
            <w:rStyle w:val="a3"/>
          </w:rPr>
          <w:t>ЗДРАВООХРАНЕНИЕ. Профессиональные стандарты (fgosvo.ru)</w:t>
        </w:r>
      </w:hyperlink>
    </w:p>
    <w:p w14:paraId="5D75A4D9" w14:textId="186BDF61" w:rsidR="00C221A7" w:rsidRDefault="00C221A7"/>
    <w:sectPr w:rsidR="00C2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A7"/>
    <w:rsid w:val="00C2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0184"/>
  <w15:chartTrackingRefBased/>
  <w15:docId w15:val="{AB65759A-B698-4327-86AD-A258A26B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2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gosvo.ru/docs/index/2/2?ysclid=lmnls43r2l78557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</cp:revision>
  <dcterms:created xsi:type="dcterms:W3CDTF">2023-09-17T15:20:00Z</dcterms:created>
  <dcterms:modified xsi:type="dcterms:W3CDTF">2023-09-17T15:21:00Z</dcterms:modified>
</cp:coreProperties>
</file>